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00 ORGANI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SINDACO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Sindaco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51 - Tutti gli uffici/Attivita' trasversale - Trattamento di dati relativi all'attivita' di gestione dell'accesso a documenti amministrativi, dell'accesso civico semplice e generalizzato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00 ORGANI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Sindaco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51 - I dati personali trattati nei procedimenti di accesso documentale, civico semplice e di accesso civico generalizzato vengono raccolti sia presso l'interessato che presso terzi. Il trattamento puo' includere anche dati vulnerabili. Vengono effettuate operazioni ordinarie di elaborazione, con mezzi elettronici e su supporto cartaceo. In relazione ad alcuni trattamenti ( quali ad esempio, l'accesso civico semplice e l'accesso civico generalizzato) vengono effettuate anche operazioni particolari di comunicazione, interconnessione e raffronti di dati (con specificazione ed indicazione della base normativa): con altri trattamenti o banche dati dello stesso ente.</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97/2016 - Statuto - Regolamento sul procedimento amministrativo - Regolamento sull'accesso</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51 - Sistema informativo relativo ad accesso e trasparenza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51 - Trattamento effettuato per finalita' di trasparenza dell'attivita' amministrativa.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51 - Trattamento effettuato per rilevanti finalita' di interesse pubblico nella seguente materia: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ai sensi dell'art. 2-sexies, comma 2 lett. n) D.Lgs. n. 196/2003 come modificato dal D.Lgs. n. 101/2018 (in particolare con riferimento al riconoscimento della personalita' giuridica di associazioni, fondazioni ed enti, anche di culto, di accertamento dei requisiti di onorabilita' e di professionalita' per le nomine, per i profili di competenza del soggetto pubblico, ad uffici anche di culto e a cariche direttive di persone giuridiche, imprese e di istituzioni scolastiche non statali, nonche' di rilascio e revoca di autorizzazioni o abilitazioni, di concessione di patrocini, patronati e premi di rappresentanza, di adesione a comitati d'onore e di ammissione a cerimonie ed incontri istituzionali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51 - Particolari forme di elaborazione - Comunicazione ai seguenti soggetti per le seguenti finalita' (con specificazione ed indicazione dell'eventuale base normativa): controinteressati ai sensi della L. 241/1990 e D.Lgs. 33/2013</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p>
            <w:pPr>
              <w:jc w:val="both"/>
            </w:pPr>
            <w:r>
              <w:rPr>
                <w:rFonts w:ascii="Times New Roman" w:hAnsi="Times New Roman"/>
                <w:sz w:val="22"/>
                <w:szCs w:val="22"/>
              </w:rPr>
              <w:t xml:space="preserve">- Amministratori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Soggetti privati</w:t>
            </w:r>
          </w:p>
          <w:p>
            <w:pPr>
              <w:jc w:val="both"/>
            </w:pPr>
            <w:r>
              <w:rPr>
                <w:rFonts w:ascii="Times New Roman" w:hAnsi="Times New Roman"/>
                <w:sz w:val="22"/>
                <w:szCs w:val="22"/>
              </w:rPr>
              <w:t xml:space="preserve">- Soggetti pubblici</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Accesso art. 43, co. 2 del T.U.E.L. da parte dei consiglieri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