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Pubblica Istruzione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Pubblica Istruzione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39 - I dati vengono raccolti sia presso l'ente, sia presso terzi, sia presso gli interessati allo svolgimento di manifestazioni di pubblico spettacolo, di iniziative culturali od eventi sportivi. Il trattamento puo' includere anche dati vulnerabili e sensibili. Vengono effettuate operazioni ordinarie di elaborazione, con mezzi elettronici e su supporto cartaceo, basato su sistema di accesso e trasparenza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R.D. del 18 giugno 1931, n. 773 TULPS (Testo Unico Leggi Pubblica Sicurezza)</w:t>
            </w:r>
          </w:p>
          <w:p>
            <w:pPr>
              <w:jc w:val="both"/>
            </w:pPr>
            <w:r>
              <w:rPr>
                <w:rFonts w:ascii="Times New Roman" w:hAnsi="Times New Roman"/>
                <w:sz w:val="22"/>
                <w:szCs w:val="22"/>
              </w:rPr>
              <w:t xml:space="preserve">Leggi Regionali</w:t>
            </w:r>
          </w:p>
          <w:p>
            <w:pPr>
              <w:jc w:val="both"/>
            </w:pPr>
            <w:r>
              <w:rPr>
                <w:rFonts w:ascii="Times New Roman" w:hAnsi="Times New Roman"/>
                <w:sz w:val="22"/>
                <w:szCs w:val="22"/>
              </w:rPr>
              <w:t xml:space="preserve">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Sistema informativo relativo ad attivita' ed eventi sportivi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rivelare la vita sessuale (soltanto in caso di eventuale rettificazione di attribuzione di sesso)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finalita' culturali o ricreative.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 (attivita' ricreative o di promozione della cultura e dello sport, incluso l'uso di beni immobili o l'occupazione di suolo pubblico)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Soci, associati, aderenti o iscritti (anche potenziali o non facenti piu' parte dell'organismo di tipo associativo)</w:t>
            </w:r>
          </w:p>
          <w:p>
            <w:pPr>
              <w:jc w:val="both"/>
            </w:pPr>
            <w:r>
              <w:rPr>
                <w:rFonts w:ascii="Times New Roman" w:hAnsi="Times New Roman"/>
                <w:sz w:val="22"/>
                <w:szCs w:val="22"/>
              </w:rPr>
              <w:t xml:space="preserve">- Amministratori, coordinatori o altre persone che ricoprono incarichi in organismi di tipo associativo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Promozione attivita' di educazione sportiva scuole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