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TUTTE LE AREE - ATTIVITA' TRASVERSALE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Tutti i settori - Attivita' trasversale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Tutti gli uffici - Attivita' trasversale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51 - Tutti gli uffici/Attivita' trasversale - Trattamento di dati relativi all'attivita' di gestione dell'accesso a documenti amministrativi, dell'accesso civico semplice e generalizzato</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TUTTE LE AREE - ATTIVITA' TRASVERSALE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Tutti i settori - Attivita' trasversale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Tutti gli uffici - Attivita' trasversale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Dott. Verdesca Dario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Leanza Clementina</w:t>
            </w:r>
          </w:p>
          <w:p>
            <w:pPr>
              <w:jc w:val="both"/>
            </w:pPr>
            <w:r>
              <w:rPr>
                <w:rFonts w:ascii="Times New Roman" w:hAnsi="Times New Roman"/>
                <w:sz w:val="22"/>
                <w:szCs w:val="22"/>
              </w:rPr>
              <w:t xml:space="preserve">Fanizza Anna Consiglia</w:t>
            </w:r>
          </w:p>
          <w:p>
            <w:pPr>
              <w:jc w:val="both"/>
            </w:pPr>
            <w:r>
              <w:rPr>
                <w:rFonts w:ascii="Times New Roman" w:hAnsi="Times New Roman"/>
                <w:sz w:val="22"/>
                <w:szCs w:val="22"/>
              </w:rPr>
              <w:t xml:space="preserve">Giaccari Maria Antonietta</w:t>
            </w:r>
          </w:p>
          <w:p>
            <w:pPr>
              <w:jc w:val="both"/>
            </w:pPr>
            <w:r>
              <w:rPr>
                <w:rFonts w:ascii="Times New Roman" w:hAnsi="Times New Roman"/>
                <w:sz w:val="22"/>
                <w:szCs w:val="22"/>
              </w:rPr>
              <w:t xml:space="preserve">Giangrande Serenella Maria</w:t>
            </w:r>
          </w:p>
          <w:p>
            <w:pPr>
              <w:jc w:val="both"/>
            </w:pPr>
            <w:r>
              <w:rPr>
                <w:rFonts w:ascii="Times New Roman" w:hAnsi="Times New Roman"/>
                <w:sz w:val="22"/>
                <w:szCs w:val="22"/>
              </w:rPr>
              <w:t xml:space="preserve">Basile Tarcisio</w:t>
            </w:r>
          </w:p>
          <w:p>
            <w:pPr>
              <w:jc w:val="both"/>
            </w:pPr>
            <w:r>
              <w:rPr>
                <w:rFonts w:ascii="Times New Roman" w:hAnsi="Times New Roman"/>
                <w:sz w:val="22"/>
                <w:szCs w:val="22"/>
              </w:rPr>
              <w:t xml:space="preserve">Papa Gianfranco</w:t>
            </w:r>
          </w:p>
          <w:p>
            <w:pPr>
              <w:jc w:val="both"/>
            </w:pPr>
            <w:r>
              <w:rPr>
                <w:rFonts w:ascii="Times New Roman" w:hAnsi="Times New Roman"/>
                <w:sz w:val="22"/>
                <w:szCs w:val="22"/>
              </w:rPr>
              <w:t xml:space="preserve">Stefanelli Paolo</w:t>
            </w:r>
          </w:p>
          <w:p>
            <w:pPr>
              <w:jc w:val="both"/>
            </w:pPr>
            <w:r>
              <w:rPr>
                <w:rFonts w:ascii="Times New Roman" w:hAnsi="Times New Roman"/>
                <w:sz w:val="22"/>
                <w:szCs w:val="22"/>
              </w:rPr>
              <w:t xml:space="preserve">Marzano Cosimo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51 - I dati personali trattati nei procedimenti di accesso documentale, civico semplice e di accesso civico generalizzato vengono raccolti sia presso l'interessato che presso terzi. Il trattamento puo' includere anche dati vulnerabili. Vengono effettuate operazioni ordinarie di elaborazione, con mezzi elettronici e su supporto cartaceo. In relazione ad alcuni trattamenti ( quali ad esempio, l'accesso civico semplice e l'accesso civico generalizzato) vengono effettuate anche operazioni particolari di comunicazione, interconnessione e raffronti di dati (con specificazione ed indicazione della base normativa): con altri trattamenti o banche dati dello stesso ente.</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51 -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D.Lgs. 97/2016 - Statuto - Regolamento sul procedimento amministrativo - Regolamento sull'accesso</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51 - Sistema informativo relativo ad accesso e trasparenza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convinzioni religiose</w:t>
            </w:r>
          </w:p>
          <w:p>
            <w:pPr>
              <w:jc w:val="both"/>
            </w:pPr>
            <w:r>
              <w:rPr>
                <w:rFonts w:ascii="Times New Roman" w:hAnsi="Times New Roman"/>
                <w:sz w:val="22"/>
                <w:szCs w:val="22"/>
              </w:rPr>
              <w:t xml:space="preserve">- Dati idonei a rilevare convinzioni filosofiche</w:t>
            </w:r>
          </w:p>
          <w:p>
            <w:pPr>
              <w:jc w:val="both"/>
            </w:pPr>
            <w:r>
              <w:rPr>
                <w:rFonts w:ascii="Times New Roman" w:hAnsi="Times New Roman"/>
                <w:sz w:val="22"/>
                <w:szCs w:val="22"/>
              </w:rPr>
              <w:t xml:space="preserve">- Dati idonei a rivelare convinzioni di altro genere (diverse dalle convinzioni religiose o filosofiche)</w:t>
            </w:r>
          </w:p>
          <w:p>
            <w:pPr>
              <w:jc w:val="both"/>
            </w:pPr>
            <w:r>
              <w:rPr>
                <w:rFonts w:ascii="Times New Roman" w:hAnsi="Times New Roman"/>
                <w:sz w:val="22"/>
                <w:szCs w:val="22"/>
              </w:rPr>
              <w:t xml:space="preserve">- Dati idonei a rilevare convinzioni politiche</w:t>
            </w:r>
          </w:p>
          <w:p>
            <w:pPr>
              <w:jc w:val="both"/>
            </w:pPr>
            <w:r>
              <w:rPr>
                <w:rFonts w:ascii="Times New Roman" w:hAnsi="Times New Roman"/>
                <w:sz w:val="22"/>
                <w:szCs w:val="22"/>
              </w:rPr>
              <w:t xml:space="preserve">- Dati idonei a rilevare convinzioni sindacali</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rilevare lo stato di salute: terapie in corso</w:t>
            </w:r>
          </w:p>
          <w:p>
            <w:pPr>
              <w:jc w:val="both"/>
            </w:pPr>
            <w:r>
              <w:rPr>
                <w:rFonts w:ascii="Times New Roman" w:hAnsi="Times New Roman"/>
                <w:sz w:val="22"/>
                <w:szCs w:val="22"/>
              </w:rPr>
              <w:t xml:space="preserve">- Dati idonei a rivelare l'origine razziale ed etnica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51 - Trattamento effettuato per finalita' di trasparenza dell'attivita' amministrativa.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51 - Trattamento effettuato per rilevanti finalita' di interesse pubblico nella seguente materia: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ai sensi dell'art. 2-sexies, comma 2 lett. n) D.Lgs. n. 196/2003 come modificato dal D.Lgs. n. 101/2018 (in particolare con riferimento al riconoscimento della personalita' giuridica di associazioni, fondazioni ed enti, anche di culto, di accertamento dei requisiti di onorabilita' e di professionalita' per le nomine, per i profili di competenza del soggetto pubblico, ad uffici anche di culto e a cariche direttive di persone giuridiche, imprese e di istituzioni scolastiche non statali, nonche' di rilascio e revoca di autorizzazioni o abilitazioni, di concessione di patrocini, patronati e premi di rappresentanza, di adesione a comitati d'onore e di ammissione a cerimonie ed incontri istituzionali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51 - Particolari forme di elaborazione - Comunicazione ai seguenti soggetti per le seguenti finalita' (con specificazione ed indicazione dell'eventuale base normativa): controinteressati ai sensi della L. 241/1990 e D.Lgs. 33/2013</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Cittadini italiani</w:t>
            </w:r>
          </w:p>
          <w:p>
            <w:pPr>
              <w:jc w:val="both"/>
            </w:pPr>
            <w:r>
              <w:rPr>
                <w:rFonts w:ascii="Times New Roman" w:hAnsi="Times New Roman"/>
                <w:sz w:val="22"/>
                <w:szCs w:val="22"/>
              </w:rPr>
              <w:t xml:space="preserve">- Cittadini di Paesi appartenenti all'U.E.</w:t>
            </w:r>
          </w:p>
          <w:p>
            <w:pPr>
              <w:jc w:val="both"/>
            </w:pPr>
            <w:r>
              <w:rPr>
                <w:rFonts w:ascii="Times New Roman" w:hAnsi="Times New Roman"/>
                <w:sz w:val="22"/>
                <w:szCs w:val="22"/>
              </w:rPr>
              <w:t xml:space="preserve">- Cittadini di Paesi non appartenenti all'U.E.</w:t>
            </w:r>
          </w:p>
          <w:p>
            <w:pPr>
              <w:jc w:val="both"/>
            </w:pPr>
            <w:r>
              <w:rPr>
                <w:rFonts w:ascii="Times New Roman" w:hAnsi="Times New Roman"/>
                <w:sz w:val="22"/>
                <w:szCs w:val="22"/>
              </w:rPr>
              <w:t xml:space="preserve">- Amministratori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Soggetti privati</w:t>
            </w:r>
          </w:p>
          <w:p>
            <w:pPr>
              <w:jc w:val="both"/>
            </w:pPr>
            <w:r>
              <w:rPr>
                <w:rFonts w:ascii="Times New Roman" w:hAnsi="Times New Roman"/>
                <w:sz w:val="22"/>
                <w:szCs w:val="22"/>
              </w:rPr>
              <w:t xml:space="preserve">- Soggetti pubblici</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Accesso civico semplice concernente dati, documenti e informazioni soggetti a pubblicazione obbligatoria ai sensi del D.Lgs. 33/2013</w:t>
      </w:r>
    </w:p>
    <w:p>
      <w:pPr>
        <w:jc w:val="both"/>
      </w:pPr>
      <w:r>
        <w:rPr>
          <w:rFonts w:ascii="Times New Roman" w:hAnsi="Times New Roman"/>
          <w:sz w:val="22"/>
          <w:szCs w:val="22"/>
        </w:rPr>
        <w:t xml:space="preserve">Accesso art. 22 e segg. della L. 241/90</w:t>
      </w:r>
    </w:p>
    <w:p>
      <w:pPr>
        <w:jc w:val="both"/>
      </w:pPr>
      <w:r>
        <w:rPr>
          <w:rFonts w:ascii="Times New Roman" w:hAnsi="Times New Roman"/>
          <w:sz w:val="22"/>
          <w:szCs w:val="22"/>
        </w:rPr>
        <w:t xml:space="preserve">Accesso art. 43, co. 2 del T.U.E.L. da parte dei consiglieri</w:t>
      </w:r>
    </w:p>
    <w:p>
      <w:pPr>
        <w:jc w:val="both"/>
      </w:pPr>
      <w:r>
        <w:rPr>
          <w:rFonts w:ascii="Times New Roman" w:hAnsi="Times New Roman"/>
          <w:sz w:val="22"/>
          <w:szCs w:val="22"/>
        </w:rPr>
        <w:t xml:space="preserve">Accesso civico generalizzato concernente dati e documenti ulteriori a quelli soggetti a pubblicazione obbligatoria ai sensi del D.Lgs. 33/2013</w:t>
      </w:r>
    </w:p>
    <w:p>
      <w:pPr>
        <w:jc w:val="both"/>
      </w:pPr>
      <w:r>
        <w:rPr>
          <w:rFonts w:ascii="Times New Roman" w:hAnsi="Times New Roman"/>
          <w:sz w:val="22"/>
          <w:szCs w:val="22"/>
        </w:rPr>
        <w:t xml:space="preserve">Registro degli accessi</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