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34 - Trattamento di dati relativi all'attivita' del difensore civico comunale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Fanizza Anna Consiglia</w:t>
            </w:r>
          </w:p>
          <w:p>
            <w:pPr>
              <w:jc w:val="both"/>
            </w:pPr>
            <w:r>
              <w:rPr>
                <w:rFonts w:ascii="Times New Roman" w:hAnsi="Times New Roman"/>
                <w:sz w:val="22"/>
                <w:szCs w:val="22"/>
              </w:rPr>
              <w:t xml:space="preserve">Giaccari Maria Antonietta</w:t>
            </w:r>
          </w:p>
          <w:p>
            <w:pPr>
              <w:jc w:val="both"/>
            </w:pPr>
            <w:r>
              <w:rPr>
                <w:rFonts w:ascii="Times New Roman" w:hAnsi="Times New Roman"/>
                <w:sz w:val="22"/>
                <w:szCs w:val="22"/>
              </w:rPr>
              <w:t xml:space="preserve">Giangrande Serenella Maria</w:t>
            </w:r>
          </w:p>
          <w:p>
            <w:pPr>
              <w:jc w:val="both"/>
            </w:pPr>
            <w:r>
              <w:rPr>
                <w:rFonts w:ascii="Times New Roman" w:hAnsi="Times New Roman"/>
                <w:sz w:val="22"/>
                <w:szCs w:val="22"/>
              </w:rPr>
              <w:t xml:space="preserve">Basile Tarcisio</w:t>
            </w:r>
          </w:p>
          <w:p>
            <w:pPr>
              <w:jc w:val="both"/>
            </w:pPr>
            <w:r>
              <w:rPr>
                <w:rFonts w:ascii="Times New Roman" w:hAnsi="Times New Roman"/>
                <w:sz w:val="22"/>
                <w:szCs w:val="22"/>
              </w:rPr>
              <w:t xml:space="preserve">Papa Gianfranco</w:t>
            </w:r>
          </w:p>
          <w:p>
            <w:pPr>
              <w:jc w:val="both"/>
            </w:pPr>
            <w:r>
              <w:rPr>
                <w:rFonts w:ascii="Times New Roman" w:hAnsi="Times New Roman"/>
                <w:sz w:val="22"/>
                <w:szCs w:val="22"/>
              </w:rPr>
              <w:t xml:space="preserve">Stefanelli Paolo</w:t>
            </w:r>
          </w:p>
          <w:p>
            <w:pPr>
              <w:jc w:val="both"/>
            </w:pPr>
            <w:r>
              <w:rPr>
                <w:rFonts w:ascii="Times New Roman" w:hAnsi="Times New Roman"/>
                <w:sz w:val="22"/>
                <w:szCs w:val="22"/>
              </w:rPr>
              <w:t xml:space="preserve">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34 - I dati vengono raccolti, sia dall'interessato, sia da terzi, al fine di attivare interventi di difesa civica a seguito di istanza dei cittadini o di propria iniziativa, in riferimento a provvedimenti, atti, fatti, omissioni, ritardi o irregolarita' compiuti da uffici e servizi dell'amministrazione provinciale. I dati utilizzati possono essere comunicati a pubbliche amministrazioni, enti e soggetti privati, gestori o concessionari di pubblico servizio interessati o coinvolti nell'attivita' istruttoria.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5.02.1992, n. 104 - D.Lgs. 18.08.2000, n. 267 (art. 11) - Legge regionale - Statuto e regolamento provinciale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34 - Sistema informativo relativo al difensore civico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lo stato di salute: anamnesi familiare</w:t>
            </w:r>
          </w:p>
          <w:p>
            <w:pPr>
              <w:jc w:val="both"/>
            </w:pPr>
            <w:r>
              <w:rPr>
                <w:rFonts w:ascii="Times New Roman" w:hAnsi="Times New Roman"/>
                <w:sz w:val="22"/>
                <w:szCs w:val="22"/>
              </w:rPr>
              <w:t xml:space="preserve">- Dati idonei a rivelare la vita sessuale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34 - Trattamento effettuato per finalita' relative a: attivita' dei difensori civici locali.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34 - Trattamento effettuato per rilevanti finalita' di interesse pubblico nella seguente materia: attivita' di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ai sensi dell'art. 2-sexies, comma 2 lett. f) D.Lgs. n. 196/2003 come modificato dal D.Lgs. n. 101/2018 (attivita' dei difensori civici locali)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34 - Particolari forme di elaborazione - Comunicazione ai seguenti soggetti per le seguenti finalita' (con specificazione ed indicazione dell'eventuale base normativa): pubbliche amministrazioni, enti e soggetti privati, gestori o concessionari di pubblico servizio interessati o coinvolti nell'attivita' istruttoria (es. L. n. 104/1992; d.lgs. n. 267/2000)</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Attivita' del difensore civico comunale - Supporto al difensore civico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