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00 ORGANI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 e commissioni consiliari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00 ORGANI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CONSIGLIO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Consiglio comunale e commissioni consiliari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comuni identificativi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Istituzione commissioni permanenti, temporanee o speciali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