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01 SETTORE AFFARI GENERALI E TURISMO</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Aa.gg., Segreteria, Staff del Sindaco</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AA.GG., Segreteria, Staff del Sindaco</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57 - Ufficio Segreteria/Notifiche - Trattamento di dati relativi all' attivita' di tenuta dell'albo e delle notifiche dell'Ente</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01 SETTORE AFFARI GENERALI E TURISMO</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Aa.gg., Segreteria, Staff del Sindaco</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AA.GG., Segreteria, Staff del Sindaco</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Parsec SRL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Leanza Clementina</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Albano Anna</w:t>
            </w:r>
          </w:p>
          <w:p>
            <w:pPr>
              <w:jc w:val="both"/>
            </w:pPr>
            <w:r>
              <w:rPr>
                <w:rFonts w:ascii="Times New Roman" w:hAnsi="Times New Roman"/>
                <w:sz w:val="22"/>
                <w:szCs w:val="22"/>
              </w:rPr>
              <w:t xml:space="preserve">Ratta Maurizio</w:t>
            </w:r>
          </w:p>
          <w:p>
            <w:pPr>
              <w:jc w:val="both"/>
            </w:pPr>
            <w:r>
              <w:rPr>
                <w:rFonts w:ascii="Times New Roman" w:hAnsi="Times New Roman"/>
                <w:sz w:val="22"/>
                <w:szCs w:val="22"/>
              </w:rPr>
              <w:t xml:space="preserve">Rizzello Maurizio</w:t>
            </w:r>
          </w:p>
          <w:p>
            <w:pPr>
              <w:jc w:val="both"/>
            </w:pPr>
            <w:r>
              <w:rPr>
                <w:rFonts w:ascii="Times New Roman" w:hAnsi="Times New Roman"/>
                <w:sz w:val="22"/>
                <w:szCs w:val="22"/>
              </w:rPr>
              <w:t xml:space="preserve">Polimeno Vittorio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57 - I dati vengono raccolti sia presso l'ente, sia presso terzi, sia presso gli interessati. Si pensi in particolare, sotto tale profilo, alla tenuta degli Albi, che comporta talvolta l'acquisizione ed il trattamento anche di dati vulnerabili e sensibili. Il trattamento avviene per rilevanti finalita' di interesse pubblico relative verifica della legittimita' dell'iscrizione negli albi o a modifiche rispetto all'iscrizione, con riferimento in particolare, al buon andamento, all'imparzialita' dell'attivita' amministrativa, nonche' alla rispondenza di detta attivita' a requisiti di razionalita', economicita', efficienza ed efficacia per le quali sono, comunque, attribuite dalla legge a soggetti pubblici funzioni di controllo, di riscontro ed ispettive nei confronti di altri soggetti (art. 67, co.1, lett.a) d.Lgs. 196/2003). Vengono effettuate operazioni ordinarie di elaborazione, con mezzi elettronici e su supporto cartaceo tramite sistema informativo di notifiche e deposito atti amministrativi e giudiziari , comunicata all'Agenzia per l'Italia digitale in attuazione dell'art. 24-quater, comma 2, del D.L. n. 90/2014, convertito in L. n.114/2014.</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57 -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Codice di procedura civile</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57 - Sistema informativo relativo al sistema informativo notifiche e deposito atti amministrativi e giudiziari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rivelare l'origine razziale ed etnica</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57 - Trattamento effettuato per finalita' di servizi istituzionali, generali e di gestione: segreteria generale.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57 - Trattamento effettuato per rilevanti finalita' di interesse pubblico nella seguente materia: volgimento delle funzioni di controllo, indirizzo politico,inchiesta parlamentare o sindacato ispettivo e l'accesso a documenti riconosciuto dalla legge e dai regolamenti degli organi interessati per esclusive finalita' direttamente connesse all'espletamento di un mandato elettivo ai sensi dell'art. 2-sexies, comma 2 lett. h) D.Lgs. n. 196/2003 come modificato dal D.Lgs. n. 101/2018 (verifica della legittimita', del buon andamento, dell'imparzialita' dell'attivita' amministrativa, nonche' della rispondenza di detta attivita' a requisiti di razionalita', economicita', efficienza ed efficacia per le quali sono, comunque, attribuite dalla legge a soggetti pubblici funzioni di controllo, di riscontro ed ispettive nei confronti di altri soggetti)</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57 - Particolari forme di elaborazione - Comunicazione ai seguenti soggetti per le seguenti finalita' (con specificazione ed indicazione dell'eventuale base normativa): a) soggetti privati e pubblici (D.Lgs. 267/2000 - Codice di procedura civile)</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Cittadini italiani</w:t>
            </w:r>
          </w:p>
          <w:p>
            <w:pPr>
              <w:jc w:val="both"/>
            </w:pPr>
            <w:r>
              <w:rPr>
                <w:rFonts w:ascii="Times New Roman" w:hAnsi="Times New Roman"/>
                <w:sz w:val="22"/>
                <w:szCs w:val="22"/>
              </w:rPr>
              <w:t xml:space="preserve">- Cittadini di Paesi appartenenti all'U.E.</w:t>
            </w:r>
          </w:p>
          <w:p>
            <w:pPr>
              <w:jc w:val="both"/>
            </w:pPr>
            <w:r>
              <w:rPr>
                <w:rFonts w:ascii="Times New Roman" w:hAnsi="Times New Roman"/>
                <w:sz w:val="22"/>
                <w:szCs w:val="22"/>
              </w:rPr>
              <w:t xml:space="preserve">- Cittadini di Paesi non appartenenti all'U.E.</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Albo e inviti: Inviti consigli comunali</w:t>
      </w:r>
    </w:p>
    <w:p>
      <w:pPr>
        <w:jc w:val="both"/>
      </w:pPr>
      <w:r>
        <w:rPr>
          <w:rFonts w:ascii="Times New Roman" w:hAnsi="Times New Roman"/>
          <w:sz w:val="22"/>
          <w:szCs w:val="22"/>
        </w:rPr>
        <w:t xml:space="preserve">Albo e notifiche: Pubblicazioni albo on line</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