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08 SETTORE AFFARI LEGALI - RISORSE UMANE - SUAP - VICESEGRETARIO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Risorse Umane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Risorse Umane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08 SETTORE AFFARI LEGALI - RISORSE UMANE - SUAP - VICESEGRETARIO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Risorse Umane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Risorse Umane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dott.ssa Buononato Elena Viola</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Marzano Cosimo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Greco Felice</w:t>
            </w:r>
          </w:p>
          <w:p>
            <w:pPr>
              <w:jc w:val="both"/>
            </w:pPr>
            <w:r>
              <w:rPr>
                <w:rFonts w:ascii="Times New Roman" w:hAnsi="Times New Roman"/>
                <w:sz w:val="22"/>
                <w:szCs w:val="22"/>
              </w:rPr>
              <w:t xml:space="preserve">Perrone Andrea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rFonts w:ascii="Times New Roman" w:hAnsi="Times New Roman"/>
                <w:sz w:val="22"/>
                <w:szCs w:val="22"/>
              </w:rPr>
              <w:t xml:space="preserve">a) alle organizzazioni sindacali ai fini della gestione dei permessi e delle trattenute sindacali relativamente ai dipendenti che hanno rilasciato delega; </w:t>
            </w:r>
          </w:p>
          <w:p>
            <w:pPr>
              <w:jc w:val="both"/>
            </w:pPr>
            <w:r>
              <w:rPr>
                <w:rFonts w:ascii="Times New Roman" w:hAnsi="Times New Roman"/>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rFonts w:ascii="Times New Roman" w:hAnsi="Times New Roman"/>
                <w:sz w:val="22"/>
                <w:szCs w:val="22"/>
              </w:rPr>
              <w:t xml:space="preserve">c) alla Presidenza del Consiglio dei Ministri in relazione alla rilevazione annuale dei permessi per cariche sindacali e funzioni pubbliche elettive (d.lgs. n. 165/2001); </w:t>
            </w:r>
          </w:p>
          <w:p>
            <w:pPr>
              <w:jc w:val="both"/>
            </w:pPr>
            <w:r>
              <w:rPr>
                <w:rFonts w:ascii="Times New Roman" w:hAnsi="Times New Roman"/>
                <w:sz w:val="22"/>
                <w:szCs w:val="22"/>
              </w:rPr>
              <w:t xml:space="preserve">d) uffici competenti per il collocamento mirato, relativamente ai dati anagrafici degli assunti appartenenti alle "categorie protette"; </w:t>
            </w:r>
          </w:p>
          <w:p>
            <w:pPr>
              <w:jc w:val="both"/>
            </w:pPr>
            <w:r>
              <w:rPr>
                <w:rFonts w:ascii="Times New Roman" w:hAnsi="Times New Roman"/>
                <w:sz w:val="22"/>
                <w:szCs w:val="22"/>
              </w:rPr>
              <w:t xml:space="preserve">e) strutture sanitarie competenti per le visite fiscali (art. 5, l. n. 300/1970 e CCNL); </w:t>
            </w:r>
          </w:p>
          <w:p>
            <w:pPr>
              <w:jc w:val="both"/>
            </w:pPr>
            <w:r>
              <w:rPr>
                <w:rFonts w:ascii="Times New Roman" w:hAnsi="Times New Roman"/>
                <w:sz w:val="22"/>
                <w:szCs w:val="22"/>
              </w:rPr>
              <w:t xml:space="preserve">f) enti di appartenenza dei lavoratori comandati in entrata (per definire il trattamento retributivo del dipendente); </w:t>
            </w:r>
          </w:p>
          <w:p>
            <w:pPr>
              <w:jc w:val="both"/>
            </w:pPr>
            <w:r>
              <w:rPr>
                <w:rFonts w:ascii="Times New Roman" w:hAnsi="Times New Roman"/>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rFonts w:ascii="Times New Roman" w:hAnsi="Times New Roman"/>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rFonts w:ascii="Times New Roman" w:hAnsi="Times New Roman"/>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Certificazione in materia di spesa di personale</w:t>
      </w:r>
    </w:p>
    <w:p>
      <w:pPr>
        <w:jc w:val="both"/>
      </w:pPr>
      <w:r>
        <w:rPr>
          <w:rFonts w:ascii="Times New Roman" w:hAnsi="Times New Roman"/>
          <w:sz w:val="22"/>
          <w:szCs w:val="22"/>
        </w:rPr>
        <w:t xml:space="preserve">Liquidazione periodiche trattamenti accessori</w:t>
      </w:r>
    </w:p>
    <w:p>
      <w:pPr>
        <w:jc w:val="both"/>
      </w:pPr>
      <w:r>
        <w:rPr>
          <w:rFonts w:ascii="Times New Roman" w:hAnsi="Times New Roman"/>
          <w:sz w:val="22"/>
          <w:szCs w:val="22"/>
        </w:rPr>
        <w:t xml:space="preserve">Pensioni: Liquidazioni INPS - riscatti - ricongiunzioni</w:t>
      </w:r>
    </w:p>
    <w:p>
      <w:pPr>
        <w:jc w:val="both"/>
      </w:pPr>
      <w:r>
        <w:rPr>
          <w:rFonts w:ascii="Times New Roman" w:hAnsi="Times New Roman"/>
          <w:sz w:val="22"/>
          <w:szCs w:val="22"/>
        </w:rPr>
        <w:t xml:space="preserve">Pensioni: Pratiche</w:t>
      </w:r>
    </w:p>
    <w:p>
      <w:pPr>
        <w:jc w:val="both"/>
      </w:pPr>
      <w:r>
        <w:rPr>
          <w:rFonts w:ascii="Times New Roman" w:hAnsi="Times New Roman"/>
          <w:sz w:val="22"/>
          <w:szCs w:val="22"/>
        </w:rPr>
        <w:t xml:space="preserve">Rilascio certificato di stipendio</w:t>
      </w:r>
    </w:p>
    <w:p>
      <w:pPr>
        <w:jc w:val="both"/>
      </w:pPr>
      <w:r>
        <w:rPr>
          <w:rFonts w:ascii="Times New Roman" w:hAnsi="Times New Roman"/>
          <w:sz w:val="22"/>
          <w:szCs w:val="22"/>
        </w:rPr>
        <w:t xml:space="preserve">Statistiche</w:t>
      </w:r>
    </w:p>
    <w:p>
      <w:pPr>
        <w:jc w:val="both"/>
      </w:pPr>
      <w:r>
        <w:rPr>
          <w:rFonts w:ascii="Times New Roman" w:hAnsi="Times New Roman"/>
          <w:sz w:val="22"/>
          <w:szCs w:val="22"/>
        </w:rPr>
        <w:t xml:space="preserve">Certificazione crediti</w:t>
      </w:r>
    </w:p>
    <w:p>
      <w:pPr>
        <w:jc w:val="both"/>
      </w:pPr>
      <w:r>
        <w:rPr>
          <w:rFonts w:ascii="Times New Roman" w:hAnsi="Times New Roman"/>
          <w:sz w:val="22"/>
          <w:szCs w:val="22"/>
        </w:rPr>
        <w:t xml:space="preserve">Programma triennale ed annuale del fabbisogno di personale</w:t>
      </w:r>
    </w:p>
    <w:p>
      <w:pPr>
        <w:jc w:val="both"/>
      </w:pPr>
      <w:r>
        <w:rPr>
          <w:rFonts w:ascii="Times New Roman" w:hAnsi="Times New Roman"/>
          <w:sz w:val="22"/>
          <w:szCs w:val="22"/>
        </w:rPr>
        <w:t xml:space="preserve">Assunzione di personale mediante concorsi, mobilita' e contratti di lavoro a tempo determinato o flessibile</w:t>
      </w:r>
    </w:p>
    <w:p>
      <w:pPr>
        <w:jc w:val="both"/>
      </w:pPr>
      <w:r>
        <w:rPr>
          <w:rFonts w:ascii="Times New Roman" w:hAnsi="Times New Roman"/>
          <w:sz w:val="22"/>
          <w:szCs w:val="22"/>
        </w:rPr>
        <w:t xml:space="preserve">Selezioni da centro per l'impiego</w:t>
      </w:r>
    </w:p>
    <w:p>
      <w:pPr>
        <w:jc w:val="both"/>
      </w:pPr>
      <w:r>
        <w:rPr>
          <w:rFonts w:ascii="Times New Roman" w:hAnsi="Times New Roman"/>
          <w:sz w:val="22"/>
          <w:szCs w:val="22"/>
        </w:rPr>
        <w:t xml:space="preserve">Stabilizzazioni </w:t>
      </w:r>
    </w:p>
    <w:p>
      <w:pPr>
        <w:jc w:val="both"/>
      </w:pPr>
      <w:r>
        <w:rPr>
          <w:rFonts w:ascii="Times New Roman" w:hAnsi="Times New Roman"/>
          <w:sz w:val="22"/>
          <w:szCs w:val="22"/>
        </w:rPr>
        <w:t xml:space="preserve">Mobilita' dall'esterno ex art. 30 del D. Lgs. 165/2001</w:t>
      </w:r>
    </w:p>
    <w:p>
      <w:pPr>
        <w:jc w:val="both"/>
      </w:pPr>
      <w:r>
        <w:rPr>
          <w:rFonts w:ascii="Times New Roman" w:hAnsi="Times New Roman"/>
          <w:sz w:val="22"/>
          <w:szCs w:val="22"/>
        </w:rPr>
        <w:t xml:space="preserve">Mobilita' ex art. 34 bis, D. L.gs. 165/2001</w:t>
      </w:r>
    </w:p>
    <w:p>
      <w:pPr>
        <w:jc w:val="both"/>
      </w:pPr>
      <w:r>
        <w:rPr>
          <w:rFonts w:ascii="Times New Roman" w:hAnsi="Times New Roman"/>
          <w:sz w:val="22"/>
          <w:szCs w:val="22"/>
        </w:rPr>
        <w:t xml:space="preserve">Mobilita' interna intersettoriale da P.E.G. </w:t>
      </w:r>
    </w:p>
    <w:p>
      <w:pPr>
        <w:jc w:val="both"/>
      </w:pPr>
      <w:r>
        <w:rPr>
          <w:rFonts w:ascii="Times New Roman" w:hAnsi="Times New Roman"/>
          <w:sz w:val="22"/>
          <w:szCs w:val="22"/>
        </w:rPr>
        <w:t xml:space="preserve">Cambi di profilo professionale</w:t>
      </w:r>
    </w:p>
    <w:p>
      <w:pPr>
        <w:jc w:val="both"/>
      </w:pPr>
      <w:r>
        <w:rPr>
          <w:rFonts w:ascii="Times New Roman" w:hAnsi="Times New Roman"/>
          <w:sz w:val="22"/>
          <w:szCs w:val="22"/>
        </w:rPr>
        <w:t xml:space="preserve">Trasformazione del rapporto di lavoro a tempo parziale</w:t>
      </w:r>
    </w:p>
    <w:p>
      <w:pPr>
        <w:jc w:val="both"/>
      </w:pPr>
      <w:r>
        <w:rPr>
          <w:rFonts w:ascii="Times New Roman" w:hAnsi="Times New Roman"/>
          <w:sz w:val="22"/>
          <w:szCs w:val="22"/>
        </w:rPr>
        <w:t xml:space="preserve">Denunce infortuni sul lavoro</w:t>
      </w:r>
    </w:p>
    <w:p>
      <w:pPr>
        <w:jc w:val="both"/>
      </w:pPr>
      <w:r>
        <w:rPr>
          <w:rFonts w:ascii="Times New Roman" w:hAnsi="Times New Roman"/>
          <w:sz w:val="22"/>
          <w:szCs w:val="22"/>
        </w:rPr>
        <w:t xml:space="preserve">Medico competente</w:t>
      </w:r>
    </w:p>
    <w:p>
      <w:pPr>
        <w:jc w:val="both"/>
      </w:pPr>
      <w:r>
        <w:rPr>
          <w:rFonts w:ascii="Times New Roman" w:hAnsi="Times New Roman"/>
          <w:sz w:val="22"/>
          <w:szCs w:val="22"/>
        </w:rPr>
        <w:t xml:space="preserve">Procedimento disciplinare</w:t>
      </w:r>
    </w:p>
    <w:p>
      <w:pPr>
        <w:jc w:val="both"/>
      </w:pPr>
      <w:r>
        <w:rPr>
          <w:rFonts w:ascii="Times New Roman" w:hAnsi="Times New Roman"/>
          <w:sz w:val="22"/>
          <w:szCs w:val="22"/>
        </w:rPr>
        <w:t xml:space="preserve">Comandi e trasferimenti</w:t>
      </w:r>
    </w:p>
    <w:p>
      <w:pPr>
        <w:jc w:val="both"/>
      </w:pPr>
      <w:r>
        <w:rPr>
          <w:rFonts w:ascii="Times New Roman" w:hAnsi="Times New Roman"/>
          <w:sz w:val="22"/>
          <w:szCs w:val="22"/>
        </w:rPr>
        <w:t xml:space="preserve">Autorizzazioni a prestazioni professionali di personale interno a tempo indeterminato e determinato</w:t>
      </w:r>
    </w:p>
    <w:p>
      <w:pPr>
        <w:jc w:val="both"/>
      </w:pPr>
      <w:r>
        <w:rPr>
          <w:rFonts w:ascii="Times New Roman" w:hAnsi="Times New Roman"/>
          <w:sz w:val="22"/>
          <w:szCs w:val="22"/>
        </w:rPr>
        <w:t xml:space="preserve">Nomina componenti del Nucleo di valutazione - OIV</w:t>
      </w:r>
    </w:p>
    <w:p>
      <w:pPr>
        <w:jc w:val="both"/>
      </w:pPr>
      <w:r>
        <w:rPr>
          <w:rFonts w:ascii="Times New Roman" w:hAnsi="Times New Roman"/>
          <w:sz w:val="22"/>
          <w:szCs w:val="22"/>
        </w:rPr>
        <w:t xml:space="preserve">Rilevazione eccedenze personale</w:t>
      </w:r>
    </w:p>
    <w:p>
      <w:pPr>
        <w:jc w:val="both"/>
      </w:pPr>
      <w:r>
        <w:rPr>
          <w:rFonts w:ascii="Times New Roman" w:hAnsi="Times New Roman"/>
          <w:sz w:val="22"/>
          <w:szCs w:val="22"/>
        </w:rPr>
        <w:t xml:space="preserve">Attribuzione incarichi dirigenziali </w:t>
      </w:r>
    </w:p>
    <w:p>
      <w:pPr>
        <w:jc w:val="both"/>
      </w:pPr>
      <w:r>
        <w:rPr>
          <w:rFonts w:ascii="Times New Roman" w:hAnsi="Times New Roman"/>
          <w:sz w:val="22"/>
          <w:szCs w:val="22"/>
        </w:rPr>
        <w:t xml:space="preserve">Certificazioni e attestazioni posizioni assicurative (pa) per uso ricongiunzioni, riscatti ed altro</w:t>
      </w:r>
    </w:p>
    <w:p>
      <w:pPr>
        <w:jc w:val="both"/>
      </w:pPr>
      <w:r>
        <w:rPr>
          <w:rFonts w:ascii="Times New Roman" w:hAnsi="Times New Roman"/>
          <w:sz w:val="22"/>
          <w:szCs w:val="22"/>
        </w:rPr>
        <w:t xml:space="preserve">Certificazioni stipendio per cessione quinto</w:t>
      </w:r>
    </w:p>
    <w:p>
      <w:pPr>
        <w:jc w:val="both"/>
      </w:pPr>
      <w:r>
        <w:rPr>
          <w:rFonts w:ascii="Times New Roman" w:hAnsi="Times New Roman"/>
          <w:sz w:val="22"/>
          <w:szCs w:val="22"/>
        </w:rPr>
        <w:t xml:space="preserve">Attribuzione progressioni economiche orizzontali o di carriera </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