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Museo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e Museo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 Biblioteca, Museo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Cultura, Biblioteca e Museo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Servizio Bibliotecario Nazionale (SBN)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Libermedia &amp; C. di Albano Monica s.a.s.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39 - I dati vengono raccolti sia presso l'ente, sia presso terzi, sia presso gli interessati allo svolgimento di manifestazioni di pubblico spettacolo, di iniziative culturali od eventi sportivi. Il trattamento puo' includere anche dati vulnerabili e sensibili. Vengono effettuate operazioni ordinarie di elaborazione, con mezzi elettronici e su supporto cartaceo, basato su sistema di accesso e trasparenza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R.D. del 18 giugno 1931, n. 773 TULPS (Testo Unico Leggi Pubblica Sicurezza)</w:t>
            </w:r>
          </w:p>
          <w:p>
            <w:pPr>
              <w:jc w:val="both"/>
            </w:pPr>
            <w:r>
              <w:rPr>
                <w:rFonts w:ascii="Times New Roman" w:hAnsi="Times New Roman"/>
                <w:sz w:val="22"/>
                <w:szCs w:val="22"/>
              </w:rPr>
              <w:t xml:space="preserve">Leggi Regionali</w:t>
            </w:r>
          </w:p>
          <w:p>
            <w:pPr>
              <w:jc w:val="both"/>
            </w:pPr>
            <w:r>
              <w:rPr>
                <w:rFonts w:ascii="Times New Roman" w:hAnsi="Times New Roman"/>
                <w:sz w:val="22"/>
                <w:szCs w:val="22"/>
              </w:rPr>
              <w:t xml:space="preserve">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Sistema informativo relativo ad attivita' ed eventi sportivi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finalita' culturali o ricreative.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 (attivita' ricreative o di promozione della cultura e dello sport, incluso l'uso di beni immobili o l'occupazione di suolo pubblico)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39 - Particolari forme di elaborazione - Comunicazione ai seguenti soggetti per le seguenti finalita' (con specificazione ed indicazione dell'eventuale base normativa): Comunicazione a Procure del Tribunale in caso di reato nonche' alle Autorita' di volta in volta competenti per le segnalazioni/esposti (ai sensi dell'art. 331 c.p.p.)</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giuridiche, societa' di persone o di capitali, imprese individuali</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Stagione teatrale</w:t>
      </w:r>
    </w:p>
    <w:p>
      <w:pPr>
        <w:jc w:val="both"/>
      </w:pPr>
      <w:r>
        <w:rPr>
          <w:rFonts w:ascii="Times New Roman" w:hAnsi="Times New Roman"/>
          <w:sz w:val="22"/>
          <w:szCs w:val="22"/>
        </w:rPr>
        <w:t xml:space="preserve">Concessione a terzi per rappresentazioni teatrali</w:t>
      </w:r>
    </w:p>
    <w:p>
      <w:pPr>
        <w:jc w:val="both"/>
      </w:pPr>
      <w:r>
        <w:rPr>
          <w:rFonts w:ascii="Times New Roman" w:hAnsi="Times New Roman"/>
          <w:sz w:val="22"/>
          <w:szCs w:val="22"/>
        </w:rPr>
        <w:t xml:space="preserve">Organizzazione manifestazioni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