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05 SETTORE LAVORI PUBBLICI - AMBIENTE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Ambiente e Igiene Ambientale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05 SETTORE LAVORI PUBBLICI - AMBIENTE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Ambiente e igiene ambientale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Ambiente e Igiene Ambientale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Basile Tarcisio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Massa Marianne</w:t>
            </w:r>
          </w:p>
          <w:p>
            <w:pPr>
              <w:jc w:val="both"/>
            </w:pPr>
            <w:r>
              <w:rPr>
                <w:rFonts w:ascii="Times New Roman" w:hAnsi="Times New Roman"/>
                <w:sz w:val="22"/>
                <w:szCs w:val="22"/>
              </w:rPr>
              <w:t xml:space="preserve">De Pace Giuseppe</w:t>
            </w:r>
          </w:p>
          <w:p>
            <w:pPr>
              <w:jc w:val="both"/>
            </w:pPr>
            <w:r>
              <w:rPr>
                <w:rFonts w:ascii="Times New Roman" w:hAnsi="Times New Roman"/>
                <w:sz w:val="22"/>
                <w:szCs w:val="22"/>
              </w:rPr>
              <w:t xml:space="preserve">Perrone Andrea</w:t>
            </w:r>
          </w:p>
          <w:p>
            <w:pPr>
              <w:jc w:val="both"/>
            </w:pPr>
            <w:r>
              <w:rPr>
                <w:rFonts w:ascii="Times New Roman" w:hAnsi="Times New Roman"/>
                <w:sz w:val="22"/>
                <w:szCs w:val="22"/>
              </w:rPr>
              <w:t xml:space="preserve">Coppola Giuseppe</w:t>
            </w:r>
          </w:p>
          <w:p>
            <w:pPr>
              <w:jc w:val="both"/>
            </w:pPr>
            <w:r>
              <w:rPr>
                <w:rFonts w:ascii="Times New Roman" w:hAnsi="Times New Roman"/>
                <w:sz w:val="22"/>
                <w:szCs w:val="22"/>
              </w:rPr>
              <w:t xml:space="preserve">Macchia Fernando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27 - I dati giudiziari e sulla salute vengono acquisiti attraverso i controlli svolti sul territorio, che sono effettuati su iniziativa d'ufficio, ovvero su richiesta di privati, di enti e di associazioni; oltre alla verifica in loco, vengono avviati i necessari accertamenti presso gli uffici competenti, al termine dei quali viene predisposta una relazione finale con l'indicazione delle eventuali violazioni in materia sanitaria o ambientale riscontrate. In tal caso, si procede a trasmetterle alle competenti autorita' amministrative o penali. Vengono, inoltre,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Per quanto concerne l'attivita' di polizia mortuaria, ed i connessi servizi cimiteriali, i dati vengono forniti direttamente dagli interessati, dai familiari o dal rappresentante della comunita' religiosa, che presentano apposita domanda al Comune al fine di ottenere delle particolari forme di sepoltura. I dati sulla salute vengono trattati in quanto i medici debbono denunciare al sindaco la malattia che, a loro giudizio, sarebbe stata la causa di morte di persona da loro assistita. Il comune a sua volta comunica le cause di morte all'ISTAT per le rilevazioni annuali, nonche' alla ASL competente per territorio per l'aggiornamento del registro delle cause di morte.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28.02.1985, n. 47 - D.Lgs. 5.02.1997, n. 22 - D.Lgs. 29.10.1999, n. 490 - D.P.R. 10.09.1990, n. 285 -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finalita' relative a: attivita' di polizia amministrativa locale, con particolare riferimento ai servizi di igiene, di polizia mortuaria e ai controlli in materia di ambiente compreso l'inquinamento acustico, tutela delle risorse idriche e difesa del suolo.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rilevanti finalita' di interesse pubblico nella seguente materia: attivita' di controllo e ispettive ai sensi dell'art. 2-sexies, comma 2 lett. l) D.Lgs. n. 196/2003 come modificato dal D.Lgs. n. 101/2018 (attivita' di polizia amministrativa locale, con particolare riferimento ai servizi di igiene, di polizia mortuaria e ai controlli in materia di ambiente compreso l'inquinamento acustico, tutela delle risorse idriche e difesa del suolo)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27 -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ISTAT (per le rilevazioni annuali della cause di morte); </w:t>
            </w:r>
          </w:p>
          <w:p>
            <w:pPr>
              <w:jc w:val="both"/>
            </w:pPr>
            <w:r>
              <w:rPr>
                <w:rFonts w:ascii="Times New Roman" w:hAnsi="Times New Roman"/>
                <w:sz w:val="22"/>
                <w:szCs w:val="22"/>
              </w:rPr>
              <w:t xml:space="preserve">b) ASL (per l'aggiornamento del registro delle cause di morte); </w:t>
            </w:r>
          </w:p>
          <w:p>
            <w:pPr>
              <w:jc w:val="both"/>
            </w:pPr>
            <w:r>
              <w:rPr>
                <w:rFonts w:ascii="Times New Roman" w:hAnsi="Times New Roman"/>
                <w:sz w:val="22"/>
                <w:szCs w:val="22"/>
              </w:rPr>
              <w:t xml:space="preserve">c) all'ente gestore degli alloggi mortuari (per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Organismi del servizio sanitario nazionale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Sospensione attivita'</w:t>
      </w:r>
    </w:p>
    <w:p>
      <w:pPr>
        <w:jc w:val="both"/>
      </w:pPr>
      <w:r>
        <w:rPr>
          <w:rFonts w:ascii="Times New Roman" w:hAnsi="Times New Roman"/>
          <w:sz w:val="22"/>
          <w:szCs w:val="22"/>
        </w:rPr>
        <w:t xml:space="preserve">Provvedimento per l'esecuzione d'ufficio in caso di mancata ottemperanza da parte dei destinatari a quanto precedentemente ordinato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