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00 ORGANI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GIUNTA COMUNALE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Giunta comunale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49 - Uffici Segreteria e Ragioneria - Trattamento di dati relativi a transazioni, lasciti, donazioni o altri atti di straordinaria amministrazione ovvero accordi integrativi o sostitutivi del provvedimento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00 ORGANI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GIUNTA COMUNALE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Giunta comunale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Verdesca Dario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49 - I dati vengono raccolti per la conclusione di transazioni e per la gestione di lasciti, donazioni o altri atti di straordinaria amministrazione ovvero accordi integrativi o sostitutivi del provvedimento. Particolari forme di elaborazione tramite interconnessione e raffronto dati con altri soggetti pubblici o privati: amministrazioni certificanti ai sensi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 - Codice Civile - Codice procedura Civile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Sistema informativo relativo a beni immobili, demaniali e patrimoniali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rilevare la posizione di beni, strumenti, oggetti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Trattamento effettuato per finalita' di servizi istituzionali, generali e di gestione.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w:t>
            </w:r>
          </w:p>
          <w:p>
            <w:pPr>
              <w:jc w:val="both"/>
            </w:pPr>
            <w:r>
              <w:rPr>
                <w:rFonts w:ascii="Times New Roman" w:hAnsi="Times New Roman"/>
                <w:sz w:val="22"/>
                <w:szCs w:val="22"/>
              </w:rPr>
              <w:t xml:space="preserve">(in particolare con riferimento alla verifica della legittimita' di lasciti e transazioni nonche' donazioni e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49 - Particolari forme di elaborazione - Comunicazione ai seguenti soggetti per le seguenti finalita' (con specificazione ed indicazione dell'eventuale base normativa): a) altre amministrazioni e soggetti privati (ai sensi del Regolamento sulla disciplina dei contratti, del Regolamento di contabilita' e della normativa dagli stessi richiamata)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Persone giuridiche ed altri enti (comprende societa' di persone)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Lasciti e donazioni</w:t>
      </w:r>
    </w:p>
    <w:p>
      <w:pPr>
        <w:jc w:val="both"/>
      </w:pPr>
      <w:r>
        <w:rPr>
          <w:rFonts w:ascii="Times New Roman" w:hAnsi="Times New Roman"/>
          <w:sz w:val="22"/>
          <w:szCs w:val="22"/>
        </w:rPr>
        <w:t xml:space="preserve">Convenzioni, transazioni ed ogni disposizione patrimoniale di straordinaria amministrazione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