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Politiche Giovanili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Politiche Giovani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39 - Uffici Cultura, Sport, Manifestazioni - Trattamento di dati relativi alle attivita' ricreative, di promozione della cultura e dello sport ed occupazioni di suolo pubblico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Politiche Giovanili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Politiche Giovani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39 - I dati vengono raccolti sia presso l'ente, sia presso terzi, sia presso gli interessati allo svolgimento di manifestazioni di pubblico spettacolo, di iniziative culturali od eventi sportivi. Il trattamento puo' includere anche dati vulnerabili e sensibili. Vengono effettuate operazioni ordinarie di elaborazione, con mezzi elettronici e su supporto cartaceo, basato su sistema di accesso e trasparenza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R.D. del 18 giugno 1931, n. 773 TULPS (Testo Unico Leggi Pubblica Sicurezza)</w:t>
            </w:r>
          </w:p>
          <w:p>
            <w:pPr>
              <w:jc w:val="both"/>
            </w:pPr>
            <w:r>
              <w:rPr>
                <w:rFonts w:ascii="Times New Roman" w:hAnsi="Times New Roman"/>
                <w:sz w:val="22"/>
                <w:szCs w:val="22"/>
              </w:rPr>
              <w:t xml:space="preserve">Leggi Regionali</w:t>
            </w:r>
          </w:p>
          <w:p>
            <w:pPr>
              <w:jc w:val="both"/>
            </w:pPr>
            <w:r>
              <w:rPr>
                <w:rFonts w:ascii="Times New Roman" w:hAnsi="Times New Roman"/>
                <w:sz w:val="22"/>
                <w:szCs w:val="22"/>
              </w:rPr>
              <w:t xml:space="preserve">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Sistema informativo relativo ad attivita' ed eventi sportivi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Trattamento effettuato per finalita' culturali o ricreative.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 (attivita' ricreative o di promozione della cultura e dello sport, incluso l'uso di beni immobili o l'occupazione di suolo pubblico)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39 - Particolari forme di elaborazione - Comunicazione ai seguenti soggetti per le seguenti finalita' (con specificazione ed indicazione dell'eventuale base normativa): Comunicazione a Procure del Tribunale in caso di reato nonche' alle Autorita' di volta in volta competenti per le segnalazioni/esposti (ai sensi dell'art. 331 c.p.p.)</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APPARECCHIATURE-ICT: attacchi informatici/azione di virus/codici maligni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INCIDENTI:sviluppo tecnologico che puo' produrre conseguenze pregiudizievoli</w:t>
            </w:r>
          </w:p>
          <w:p>
            <w:pPr>
              <w:jc w:val="both"/>
            </w:pPr>
            <w:r>
              <w:rPr>
                <w:rFonts w:ascii="Times New Roman" w:hAnsi="Times New Roman"/>
                <w:sz w:val="22"/>
                <w:szCs w:val="22"/>
              </w:rPr>
              <w:t xml:space="preserve">- CAUSA INCIDENTI: crimeware (malware che mirano a ottenere il controllo dei sistemi)</w:t>
            </w:r>
          </w:p>
          <w:p>
            <w:pPr>
              <w:jc w:val="both"/>
            </w:pPr>
            <w:r>
              <w:rPr>
                <w:rFonts w:ascii="Times New Roman" w:hAnsi="Times New Roman"/>
                <w:sz w:val="22"/>
                <w:szCs w:val="22"/>
              </w:rPr>
              <w:t xml:space="preserve">-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-TRATTAMENTI ELETTRONICI: utilizzo di parole chiave non adeguate</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Tutte le misure minime di sicurezza prescritte per i trattamenti con strumenti elettronici dal disciplinare tecnico allegato B al D.Lgs. 196/2003</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regolamento generale sulla protezione dei dati e' provata dal documento di preliminare determinazione della possibilita' che il trattamento possa avere un rischio elevato nonche', in caso di rischio elevato, dal documento di DPIA</w:t>
            </w:r>
          </w:p>
          <w:p>
            <w:pPr>
              <w:jc w:val="both"/>
            </w:pPr>
            <w:r>
              <w:rPr>
                <w:rFonts w:ascii="Times New Roman" w:hAnsi="Times New Roman"/>
                <w:sz w:val="22"/>
                <w:szCs w:val="22"/>
              </w:rPr>
              <w:t xml:space="preserve">-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Informagiovani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