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Giudiziaria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Giudiziaria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26 - Polizia municipale - Trattamento di dati relativo all'attivita' di polizia annonaria, commerciale ed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Giudiziaria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Giudiziaria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26 - I dati (in particolare quelli contenuti nel c.d. "certificato antimafia") vengono acquisiti dagli interessati al momento della presentazione delle domande per le licenze o per le autorizzazioni amministrative; gli stessi vengono poi esaminati al fine di verificare l'esistenza dei requisiti richiesti. I dati sulla salute vengono trattati, in particolare, al fine di verificare i requisiti richiesti nel caso di soggetti preposti alla gestione di determinate attivita', come ad esempio la rivendita di generi alimentari. I dati possono essere anche acquisiti attraverso i controlli svolti presso l'esercizio o l'attivita' dell'interessato, al fine di verificare le autorizzazioni e la relativa regolarita'; in tal caso viene redatto un verbale di ispezione, cui segue una verifica presso gli uffici comunali competenti.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18.06.1931, n. 773 (artt. 5 e 75) - L. 28.03.1991, n. 112 - D.Lgs. 31.03.1998, n. 114 - D.P.R. 30.4.1999, n. 162 - D.P.R. 26.10.2001, n. 430 - D.P.R. 24.07.1977, n. 616 (art. 19)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finalita' di ordine e sicurezza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rilevanti finalita' di interesse pubblico nella seguente materia: attivita' attivita' di controllo e ispettive ai sensi dell'art. 2-sexies, comma 2 lett. l) D.Lgs. n. 196/2003 come modificato dal D.Lgs. n. 101/2018 (attivita' di polizia amministrativa locale, con particolare riferimento ai servizi di igiene)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Trasmissione notizie di reato all'A.G.</w:t>
      </w:r>
    </w:p>
    <w:p>
      <w:pPr>
        <w:jc w:val="both"/>
      </w:pPr>
      <w:r>
        <w:rPr>
          <w:rFonts w:ascii="Times New Roman" w:hAnsi="Times New Roman"/>
          <w:sz w:val="22"/>
          <w:szCs w:val="22"/>
        </w:rPr>
        <w:t xml:space="preserve">Indagini su delega Procura</w:t>
      </w:r>
    </w:p>
    <w:p>
      <w:pPr>
        <w:jc w:val="both"/>
      </w:pPr>
      <w:r>
        <w:rPr>
          <w:rFonts w:ascii="Times New Roman" w:hAnsi="Times New Roman"/>
          <w:sz w:val="22"/>
          <w:szCs w:val="22"/>
        </w:rPr>
        <w:t xml:space="preserve">Assistenza organi istituzionali: Servizio ordine consiglio comunale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