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Randagismo canino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Randagismo canino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26 - Polizia municipale - Trattamento di dati relativo all'attivita' di polizia annonaria, commerciale ed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Randagismo canino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Randagismo canino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26 - I dati (in particolare quelli contenuti nel c.d. "certificato antimafia") vengono acquisiti dagli interessati al momento della presentazione delle domande per le licenze o per le autorizzazioni amministrative; gli stessi vengono poi esaminati al fine di verificare l'esistenza dei requisiti richiesti. I dati sulla salute vengono trattati, in particolare, al fine di verificare i requisiti richiesti nel caso di soggetti preposti alla gestione di determinate attivita', come ad esempio la rivendita di generi alimentari. I dati possono essere anche acquisiti attraverso i controlli svolti presso l'esercizio o l'attivita' dell'interessato, al fine di verificare le autorizzazioni e la relativa regolarita'; in tal caso viene redatto un verbale di ispezione, cui segue una verifica presso gli uffici comunali competenti.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18.06.1931, n. 773 (artt. 5 e 75) - L. 28.03.1991, n. 112 - D.Lgs. 31.03.1998, n. 114 - D.P.R. 30.4.1999, n. 162 - D.P.R. 26.10.2001, n. 430 - D.P.R. 24.07.1977, n. 616 (art. 19)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finalita' di ordine e sicurezza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rilevanti finalita' di interesse pubblico nella seguente materia: attivita' attivita' di controllo e ispettive ai sensi dell'art. 2-sexies, comma 2 lett. l) D.Lgs. n. 196/2003 come modificato dal D.Lgs. n. 101/2018 (attivita' di polizia amministrativa locale, con particolare riferimento ai servizi di igiene)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Interventi per il contrasto del randagismo</w:t>
      </w:r>
    </w:p>
    <w:p>
      <w:pPr>
        <w:jc w:val="both"/>
      </w:pPr>
      <w:r>
        <w:rPr>
          <w:rFonts w:ascii="Times New Roman" w:hAnsi="Times New Roman"/>
          <w:sz w:val="22"/>
          <w:szCs w:val="22"/>
        </w:rPr>
        <w:t xml:space="preserve">Anagrafe canina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