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04 SETTORE POLIZIA LOCALE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Stradale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Stradale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24 - Polizia municipale - Trattamento di dati relativi all'infortunistica stradale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04 SETTORE POLIZIA LOCALE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Polizia Stradale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Polizia Stradale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Prefettura di Lecce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Maggioli S.p.A. </w:t>
            </w:r>
          </w:p>
          <w:p>
            <w:pPr>
              <w:jc w:val="both"/>
            </w:pPr>
            <w:r>
              <w:rPr>
                <w:rFonts w:ascii="Times New Roman" w:hAnsi="Times New Roman"/>
                <w:sz w:val="22"/>
                <w:szCs w:val="22"/>
              </w:rPr>
              <w:t xml:space="preserve">ANCITEL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Giangrande Serenella Maria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Serafino Giuseppina</w:t>
            </w:r>
          </w:p>
          <w:p>
            <w:pPr>
              <w:jc w:val="both"/>
            </w:pPr>
            <w:r>
              <w:rPr>
                <w:rFonts w:ascii="Times New Roman" w:hAnsi="Times New Roman"/>
                <w:sz w:val="22"/>
                <w:szCs w:val="22"/>
              </w:rPr>
              <w:t xml:space="preserve">Greco Barbara</w:t>
            </w:r>
          </w:p>
          <w:p>
            <w:pPr>
              <w:jc w:val="both"/>
            </w:pPr>
            <w:r>
              <w:rPr>
                <w:rFonts w:ascii="Times New Roman" w:hAnsi="Times New Roman"/>
                <w:sz w:val="22"/>
                <w:szCs w:val="22"/>
              </w:rPr>
              <w:t xml:space="preserve">Greco Pasquale</w:t>
            </w:r>
          </w:p>
          <w:p>
            <w:pPr>
              <w:jc w:val="both"/>
            </w:pPr>
            <w:r>
              <w:rPr>
                <w:rFonts w:ascii="Times New Roman" w:hAnsi="Times New Roman"/>
                <w:sz w:val="22"/>
                <w:szCs w:val="22"/>
              </w:rPr>
              <w:t xml:space="preserve">Peluso Marina</w:t>
            </w:r>
          </w:p>
          <w:p>
            <w:pPr>
              <w:jc w:val="both"/>
            </w:pPr>
            <w:r>
              <w:rPr>
                <w:rFonts w:ascii="Times New Roman" w:hAnsi="Times New Roman"/>
                <w:sz w:val="22"/>
                <w:szCs w:val="22"/>
              </w:rPr>
              <w:t xml:space="preserve">Ingrosso Lucia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24 - I dati vengono acquisiti in occasione della rilevazione di incidenti e/o infortuni; gli stessi servono per l'individuazione delle persone coinvolte e l'accertamento dei fatti. Vengono verbalizzati i fatti e contestate le eventuali sanzioni amministrative ed in caso di illeciti penali, o che comportino provvedimenti sui permessi di guida, i dati rilevati sono trasmessi agli enti competenti (Dipartimento per i trasporti terrestri, Prefettura).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D.Lgs. 30.04.1992, n. 285 (artt. 11 - 12) - D.P.R. 16.12.1992, n. 495</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24 - Sistema informativo relativo alla polizia stradale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terapie in corso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24 - Trattamento effettuato per finalita' relative a: attivita' di polizia amministrativa.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24 - Trattamento effettuato per rilevanti finalita' di interesse pubblico nella seguente materia: attivita' sanzionatorie e di tutela in sede amministrativa o giudiziaria ai sensi dell'art. 2-sexies, comma 2 lett. q) D.Lgs. n. 196/2003 come modificato dal D.Lgs. n. 101/2018 (attivita' di polizia amministrativa)</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24 -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Dipartimento per i trasporti terrestri e Prefettura (per comunicare le sanzioni elevate o per trasmettere gli elementi necessari per la decisione dei ricorsi art. 223 del d.lgs. n. 285/1992); </w:t>
            </w:r>
          </w:p>
          <w:p>
            <w:pPr>
              <w:jc w:val="both"/>
            </w:pPr>
            <w:r>
              <w:rPr>
                <w:rFonts w:ascii="Times New Roman" w:hAnsi="Times New Roman"/>
                <w:sz w:val="22"/>
                <w:szCs w:val="22"/>
              </w:rPr>
              <w:t xml:space="preserve">b) alle imprese di assicurazione (nei casi consentiti dalla legge); </w:t>
            </w:r>
          </w:p>
          <w:p>
            <w:pPr>
              <w:jc w:val="both"/>
            </w:pPr>
            <w:r>
              <w:rPr>
                <w:rFonts w:ascii="Times New Roman" w:hAnsi="Times New Roman"/>
                <w:sz w:val="22"/>
                <w:szCs w:val="22"/>
              </w:rPr>
              <w:t xml:space="preserve">c) in alcuni casi, anche ai familiari delle persone coinvolte</w:t>
            </w:r>
          </w:p>
          <w:p>
            <w:pPr>
              <w:jc w:val="both"/>
            </w:pPr>
            <w:r>
              <w:rPr>
                <w:rFonts w:ascii="Times New Roman" w:hAnsi="Times New Roman"/>
                <w:sz w:val="22"/>
                <w:szCs w:val="22"/>
              </w:rPr>
              <w:t xml:space="preserve">- Altre amministrazioni ed enti pubblici</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rFonts w:ascii="Times New Roman" w:hAnsi="Times New Roman"/>
                <w:sz w:val="22"/>
                <w:szCs w:val="22"/>
              </w:rPr>
              <w:t xml:space="preserve">- Passeggeri su veicoli o utenti di mezzi di trasporto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Rilievo incidente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