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Nomina e revoca assessori</w:t>
      </w:r>
    </w:p>
    <w:p>
      <w:pPr>
        <w:jc w:val="both"/>
      </w:pPr>
      <w:r>
        <w:rPr>
          <w:rFonts w:ascii="Times New Roman" w:hAnsi="Times New Roman"/>
          <w:sz w:val="22"/>
          <w:szCs w:val="22"/>
        </w:rPr>
        <w:t xml:space="preserve">Nomina Segretario generale</w:t>
      </w:r>
    </w:p>
    <w:p>
      <w:pPr>
        <w:jc w:val="both"/>
      </w:pPr>
      <w:r>
        <w:rPr>
          <w:rFonts w:ascii="Times New Roman" w:hAnsi="Times New Roman"/>
          <w:sz w:val="22"/>
          <w:szCs w:val="22"/>
        </w:rPr>
        <w:t xml:space="preserve">Nomina Organismo di valutazione</w:t>
      </w:r>
    </w:p>
    <w:p>
      <w:pPr>
        <w:jc w:val="both"/>
      </w:pPr>
      <w:r>
        <w:rPr>
          <w:rFonts w:ascii="Times New Roman" w:hAnsi="Times New Roman"/>
          <w:sz w:val="22"/>
          <w:szCs w:val="22"/>
        </w:rPr>
        <w:t xml:space="preserve">Attribuzione e revoca incarichi al personale dirigente</w:t>
      </w:r>
    </w:p>
    <w:p>
      <w:pPr>
        <w:jc w:val="both"/>
      </w:pPr>
      <w:r>
        <w:rPr>
          <w:rFonts w:ascii="Times New Roman" w:hAnsi="Times New Roman"/>
          <w:sz w:val="22"/>
          <w:szCs w:val="22"/>
        </w:rPr>
        <w:t xml:space="preserve">Costituzione di ufficio posto alle dirette dipendenze del sindaco ai sensi dell'art. 90, TUEL</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