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UNTA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Giunta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venzioni con associazioni e altri enti di diritto privato non di competenza del Consigli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