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14 - Servizi sociali - Trattamento di dati relativi alla attivita' di valutazione dei requisiti necessari per la concessione di contributi, ricoveri in istituti convenzionati o soggiorno estivo (per soggetti audiolesi, non vedenti, pluriminorati o gravi disabili o con disagi psico-sociali)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Ambito Territoriale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Il Sorriso s.n.c. </w:t>
            </w:r>
          </w:p>
          <w:p>
            <w:pPr>
              <w:jc w:val="both"/>
            </w:pPr>
            <w:r>
              <w:rPr>
                <w:rFonts w:ascii="Times New Roman" w:hAnsi="Times New Roman"/>
                <w:sz w:val="22"/>
                <w:szCs w:val="22"/>
              </w:rPr>
              <w:t xml:space="preserve">Ambaraba' Coop Sociale </w:t>
            </w:r>
          </w:p>
          <w:p>
            <w:pPr>
              <w:jc w:val="both"/>
            </w:pPr>
            <w:r>
              <w:rPr>
                <w:rFonts w:ascii="Times New Roman" w:hAnsi="Times New Roman"/>
                <w:sz w:val="22"/>
                <w:szCs w:val="22"/>
              </w:rPr>
              <w:t xml:space="preserve">Comunita' Emmanuel Lecce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14 - I dati vengono forniti dall'interessato, previa presentazione dell'istanza per accedere al contributo e/o al ricovero, ovvero da terzi (ASL o tutore, per predisporre una relazione di valutazione dello stato di non autosufficienza psico-fisica relativa all'interessato). Le informazioni sulla salute sono comunicate unicamente all'istituto che presso il quale viene effettuato il ricovero, in particolare viene comunicata l'ammissione del beneficiario, il grado di invalidita' e le particolari patologie dell'interessato, al fine di garantire un'assistenza mirata. Le eventuali convinzioni religiose e filosofiche possono invece rilevare ai fini dell'erogazione di particolari regimi alimentari.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5.12.1992, n. 104 - D.Lgs. 31.03.1998, n. 112 e relative disposizioni di attuazione - D.Lgs. 18.08.2000, n. 267 - leggi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Sistema informativo relativo a concessione di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lo stato di salute: anamnesi familiare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Trattamento effettuato per finalita' relative ad attivita' socio-assistenziali.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Trattamento effettuato per rilevanti finalita' di interesse pubblico nella seguente materia: attivita' socio-assistenziali a tutela dei minori e soggetti bisognosi, non autosufficienti e incapaci ai sensi dell'art. 2-sexies, comma 2 lett. s) D.Lgs. n. 196/2003 come modificato dal D.Lgs. n. 101/2018 (attivita' socio-assistenziali )</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14 - Particolari forme di elaborazione - Comunicazione ai seguenti soggetti per le seguenti finalita' (con specificazione ed indicazione dell'eventuale base normativa): Istituto che fornisce la prestazione (ai sensi della l. n. 328/2000)</w:t>
            </w:r>
          </w:p>
          <w:p>
            <w:pPr>
              <w:jc w:val="both"/>
            </w:pPr>
            <w:r>
              <w:rPr>
                <w:rFonts w:ascii="Times New Roman" w:hAnsi="Times New Roman"/>
                <w:sz w:val="22"/>
                <w:szCs w:val="22"/>
              </w:rPr>
              <w:t xml:space="preserve">-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Contributi economici</w:t>
      </w:r>
    </w:p>
    <w:p>
      <w:pPr>
        <w:jc w:val="both"/>
      </w:pPr>
      <w:r>
        <w:rPr>
          <w:rFonts w:ascii="Times New Roman" w:hAnsi="Times New Roman"/>
          <w:sz w:val="22"/>
          <w:szCs w:val="22"/>
        </w:rPr>
        <w:t xml:space="preserve">Testi scolastici per alunni della scuola primaria</w:t>
      </w:r>
    </w:p>
    <w:p>
      <w:pPr>
        <w:jc w:val="both"/>
      </w:pPr>
      <w:r>
        <w:rPr>
          <w:rFonts w:ascii="Times New Roman" w:hAnsi="Times New Roman"/>
          <w:sz w:val="22"/>
          <w:szCs w:val="22"/>
        </w:rPr>
        <w:t xml:space="preserve">Sostegno ad associazioni operanti nell'ambito socio-educativo</w:t>
      </w:r>
    </w:p>
    <w:p>
      <w:pPr>
        <w:jc w:val="both"/>
      </w:pPr>
      <w:r>
        <w:rPr>
          <w:rFonts w:ascii="Times New Roman" w:hAnsi="Times New Roman"/>
          <w:sz w:val="22"/>
          <w:szCs w:val="22"/>
        </w:rPr>
        <w:t xml:space="preserve">Dichiarazione quota sanitaria e assistenziale per dichiarazione dei redditi</w:t>
      </w:r>
    </w:p>
    <w:p>
      <w:pPr>
        <w:jc w:val="both"/>
      </w:pPr>
      <w:r>
        <w:rPr>
          <w:rFonts w:ascii="Times New Roman" w:hAnsi="Times New Roman"/>
          <w:sz w:val="22"/>
          <w:szCs w:val="22"/>
        </w:rPr>
        <w:t xml:space="preserve">Controllo I.S.E.E. per prestazioni sociali agevolate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