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Museo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e Museo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23 - Istruzione e cultura - Trattamento di dati relativi alla gestione delle biblioteche e dei centri di documentazione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 Biblioteca, Museo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 Biblioteca e Museo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Servizio Bibliotecario Nazionale (SBN)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Libermedia &amp; C. di Albano Monica s.a.s.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23 - Alcuni dati sulle condizioni di salute possono essere acquisiti in relazione ai singoli servizi offerti all'utente (es. assistenza per il superamento di barriere architettoniche ovvero utilizzo di particolari supporti); altri dati sensibili sono trattati in relazione alle informazioni ricavabili dalle richieste relative ai singoli volumi, ai film ovvero ai documenti presi in visione o in prestito. Ulteriori dati sensibili potrebbero essere acquisiti a seguito di colloqui volti ad accertare le esigenze di studio dei richiedenti, che intendono accedere a talune sale riservate per le quali e' previsto l'accesso limitato.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31.03.1998, n. 112 - D.P.R. 24.07.1977, n. 616 - D.Lgs. 22.01.2004, n. 42</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non obbligatorio ma necessario per lo svolgimento dell'attivita'/servizio richiesto</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Sistema informativo relativo a istituti culturali (Musei, biblioteche, teatri, Scuola comunale di musica, etc.)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Trattamento effettuato per finalita' relative a: attivita' di promozione della cultura.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Trattamento effettuato per rilevanti finalita' di interesse pubblico nella seguente materia: istruzione e formazione in ambito scolastico, professionale, superiore o universitario ai sensi dell'art. 2-sexies, comma 2, lett. bb), D.Lgs. n. 196/2003 come modificato dal D.Lgs. n. 101/2018 (attivita' di promozione della cultura)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rFonts w:ascii="Times New Roman" w:hAnsi="Times New Roman"/>
                <w:sz w:val="22"/>
                <w:szCs w:val="22"/>
              </w:rPr>
              <w:t xml:space="preserve">- Scolari o studenti di ogni ordine e grado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Prestito locale</w:t>
      </w:r>
    </w:p>
    <w:p>
      <w:pPr>
        <w:jc w:val="both"/>
      </w:pPr>
      <w:r>
        <w:rPr>
          <w:rFonts w:ascii="Times New Roman" w:hAnsi="Times New Roman"/>
          <w:sz w:val="22"/>
          <w:szCs w:val="22"/>
        </w:rPr>
        <w:t xml:space="preserve">Prestito interbibliotecario</w:t>
      </w:r>
    </w:p>
    <w:p>
      <w:pPr>
        <w:jc w:val="both"/>
      </w:pPr>
      <w:r>
        <w:rPr>
          <w:rFonts w:ascii="Times New Roman" w:hAnsi="Times New Roman"/>
          <w:sz w:val="22"/>
          <w:szCs w:val="22"/>
        </w:rPr>
        <w:t xml:space="preserve">Assistenza alla ricerca</w:t>
      </w:r>
    </w:p>
    <w:p>
      <w:pPr>
        <w:jc w:val="both"/>
      </w:pPr>
      <w:r>
        <w:rPr>
          <w:rFonts w:ascii="Times New Roman" w:hAnsi="Times New Roman"/>
          <w:sz w:val="22"/>
          <w:szCs w:val="22"/>
        </w:rPr>
        <w:t xml:space="preserve">Catalogazione</w:t>
      </w:r>
    </w:p>
    <w:p>
      <w:pPr>
        <w:jc w:val="both"/>
      </w:pPr>
      <w:r>
        <w:rPr>
          <w:rFonts w:ascii="Times New Roman" w:hAnsi="Times New Roman"/>
          <w:sz w:val="22"/>
          <w:szCs w:val="22"/>
        </w:rPr>
        <w:t xml:space="preserve">Gestione reti documentarie</w:t>
      </w:r>
    </w:p>
    <w:p>
      <w:pPr>
        <w:jc w:val="both"/>
      </w:pPr>
      <w:r>
        <w:rPr>
          <w:rFonts w:ascii="Times New Roman" w:hAnsi="Times New Roman"/>
          <w:sz w:val="22"/>
          <w:szCs w:val="22"/>
        </w:rPr>
        <w:t xml:space="preserve">Incontri con l'Autore</w:t>
      </w:r>
    </w:p>
    <w:p>
      <w:pPr>
        <w:jc w:val="both"/>
      </w:pPr>
      <w:r>
        <w:rPr>
          <w:rFonts w:ascii="Times New Roman" w:hAnsi="Times New Roman"/>
          <w:sz w:val="22"/>
          <w:szCs w:val="22"/>
        </w:rPr>
        <w:t xml:space="preserve">Interventi di promozione alla lettura dei bambini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