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05 SETTORE LAVORI PUBBLICI - AMBIENTE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Protezione Civile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Protezione Civile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05 SETTORE LAVORI PUBBLICI - AMBIENTE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Protezione Civile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Protezione Civile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Basile Tarcisio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Massa Marianne</w:t>
            </w:r>
          </w:p>
          <w:p>
            <w:pPr>
              <w:jc w:val="both"/>
            </w:pPr>
            <w:r>
              <w:rPr>
                <w:rFonts w:ascii="Times New Roman" w:hAnsi="Times New Roman"/>
                <w:sz w:val="22"/>
                <w:szCs w:val="22"/>
              </w:rPr>
              <w:t xml:space="preserve">De Pace Giuseppe</w:t>
            </w:r>
          </w:p>
          <w:p>
            <w:pPr>
              <w:jc w:val="both"/>
            </w:pPr>
            <w:r>
              <w:rPr>
                <w:rFonts w:ascii="Times New Roman" w:hAnsi="Times New Roman"/>
                <w:sz w:val="22"/>
                <w:szCs w:val="22"/>
              </w:rPr>
              <w:t xml:space="preserve">Perrone Andrea</w:t>
            </w:r>
          </w:p>
          <w:p>
            <w:pPr>
              <w:jc w:val="both"/>
            </w:pPr>
            <w:r>
              <w:rPr>
                <w:rFonts w:ascii="Times New Roman" w:hAnsi="Times New Roman"/>
                <w:sz w:val="22"/>
                <w:szCs w:val="22"/>
              </w:rPr>
              <w:t xml:space="preserve">Coppola Giuseppe</w:t>
            </w:r>
          </w:p>
          <w:p>
            <w:pPr>
              <w:jc w:val="both"/>
            </w:pPr>
            <w:r>
              <w:rPr>
                <w:rFonts w:ascii="Times New Roman" w:hAnsi="Times New Roman"/>
                <w:sz w:val="22"/>
                <w:szCs w:val="22"/>
              </w:rPr>
              <w:t xml:space="preserve">Macchia Fernando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50 - Il trattamento ha per oggetto i dati delle procedure di affidamento e dei contratti di appalto e di concessione delle amministrazioni aggiudicatrici e degli enti aggiudicatori per l'acquisizione di servizi, forniture, lavori e opere, nonche' i concorsi pubblici di progettazione e l'attivita' posta in essere in attuazione del D.Lgs. n. 50/2016. I dati vengono raccolti dai soggetti partecipanti alle procedure di affidamento e includono dati sensibili e giudiziari. Il trattamento implica, oltre alle ordinarie forme di elaborazione standardizzate (con mezzi elettronici e su supporto cartaceo), anche la comunicazione a terzi e, in particolare, alle Autorita' competenti a rilasciare le certificazioni sul possesso dei requisiti, nonche' la possibile diffusione mediante pubblicazione sul profilo del committente e sui siti web prescritti dalla normativa vigente in materia.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pPr>
              <w:jc w:val="both"/>
            </w:pPr>
            <w:r>
              <w:rPr>
                <w:rFonts w:ascii="Times New Roman" w:hAnsi="Times New Roman"/>
                <w:sz w:val="22"/>
                <w:szCs w:val="22"/>
              </w:rPr>
              <w:t xml:space="preserve">- Le attivita' ricomprese in questo trattamento sono le attivita' di competenza trasversalmente, di tutti gli uffici che aggiudicano contratti inclusi nell'ambito di applicazione del D.Lgs. 50 n. 0/2016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Sistema informativo relativo ad appalti, concessioni, autorizzazioni al subappalto contratti di partenariato pubblico privato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relativi ad altri provvedimenti o procedimenti sanzionatori, disciplinari, amministrativi o contabili</w:t>
            </w:r>
          </w:p>
          <w:p>
            <w:pPr>
              <w:jc w:val="both"/>
            </w:pPr>
            <w:r>
              <w:rPr>
                <w:rFonts w:ascii="Times New Roman" w:hAnsi="Times New Roman"/>
                <w:sz w:val="22"/>
                <w:szCs w:val="22"/>
              </w:rPr>
              <w:t xml:space="preserve">- Dati relativi al comportamento debitorio</w:t>
            </w:r>
          </w:p>
          <w:p>
            <w:pPr>
              <w:jc w:val="both"/>
            </w:pPr>
            <w:r>
              <w:rPr>
                <w:rFonts w:ascii="Times New Roman" w:hAnsi="Times New Roman"/>
                <w:sz w:val="22"/>
                <w:szCs w:val="22"/>
              </w:rPr>
              <w:t xml:space="preserve">- Dati relativi all'affidabilita' o puntualita' nei pagamenti</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relativi a comportamenti illeciti o fraudolenti</w:t>
            </w:r>
          </w:p>
          <w:p>
            <w:pPr>
              <w:jc w:val="both"/>
            </w:pPr>
            <w:r>
              <w:rPr>
                <w:rFonts w:ascii="Times New Roman" w:hAnsi="Times New Roman"/>
                <w:sz w:val="22"/>
                <w:szCs w:val="22"/>
              </w:rPr>
              <w:t xml:space="preserve">- Dati relativi all'adempimento di obbligazioni</w:t>
            </w:r>
          </w:p>
          <w:p>
            <w:pPr>
              <w:jc w:val="both"/>
            </w:pPr>
            <w:r>
              <w:rPr>
                <w:rFonts w:ascii="Times New Roman" w:hAnsi="Times New Roman"/>
                <w:sz w:val="22"/>
                <w:szCs w:val="22"/>
              </w:rPr>
              <w:t xml:space="preserve">- Dati idonei a rivelare lo stato di disabilita'</w:t>
            </w:r>
          </w:p>
          <w:p>
            <w:pPr>
              <w:jc w:val="both"/>
            </w:pPr>
            <w:r>
              <w:rPr>
                <w:rFonts w:ascii="Times New Roman" w:hAnsi="Times New Roman"/>
                <w:sz w:val="22"/>
                <w:szCs w:val="22"/>
              </w:rPr>
              <w:t xml:space="preserve">- Dati idonei a rivelare il rapporto di parentela o affinita'</w:t>
            </w:r>
          </w:p>
          <w:p>
            <w:pPr>
              <w:jc w:val="both"/>
            </w:pPr>
            <w:r>
              <w:rPr>
                <w:rFonts w:ascii="Times New Roman" w:hAnsi="Times New Roman"/>
                <w:sz w:val="22"/>
                <w:szCs w:val="22"/>
              </w:rPr>
              <w:t xml:space="preserve">- Dati relativi al rischio sulla solvibilita' economica, alla situazione patrimoniale, al corretto adempimento di obbligazioni, a comportamenti illeciti o fraudolenti</w:t>
            </w:r>
          </w:p>
          <w:p>
            <w:pPr>
              <w:jc w:val="both"/>
            </w:pPr>
            <w:r>
              <w:rPr>
                <w:rFonts w:ascii="Times New Roman" w:hAnsi="Times New Roman"/>
                <w:sz w:val="22"/>
                <w:szCs w:val="22"/>
              </w:rPr>
              <w:t xml:space="preserve">- Dati relativi all'affidabilita' nell'esecuzione dei contratti pubblici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50 -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Agenzia Entrate, Prefettura, Tribunale, Procura presso il Tribunale, Provincia e altri enti pubblici - INPS/INAIL/ANAC - , anche attraverso la consultazione delle relative Banche dati, per i controlli sul possesso dei requisiti dichiarati in sede di procedura di affidamento;</w:t>
            </w:r>
          </w:p>
          <w:p>
            <w:pPr>
              <w:jc w:val="both"/>
            </w:pPr>
            <w:r>
              <w:rPr>
                <w:rFonts w:ascii="Times New Roman" w:hAnsi="Times New Roman"/>
                <w:sz w:val="22"/>
                <w:szCs w:val="22"/>
              </w:rPr>
              <w:t xml:space="preserve">b) altri soggetti partecipanti alla procedura di affidamento;</w:t>
            </w:r>
          </w:p>
          <w:p>
            <w:pPr>
              <w:jc w:val="both"/>
            </w:pPr>
            <w:r>
              <w:rPr>
                <w:rFonts w:ascii="Times New Roman" w:hAnsi="Times New Roman"/>
                <w:sz w:val="22"/>
                <w:szCs w:val="22"/>
              </w:rPr>
              <w:t xml:space="preserve">c) consulenti e soggetti, pubblici o privati, che effettuano servizi di committenza ausiliaria;</w:t>
            </w:r>
          </w:p>
          <w:p>
            <w:pPr>
              <w:jc w:val="both"/>
            </w:pPr>
            <w:r>
              <w:rPr>
                <w:rFonts w:ascii="Times New Roman" w:hAnsi="Times New Roman"/>
                <w:sz w:val="22"/>
                <w:szCs w:val="22"/>
              </w:rPr>
              <w:t xml:space="preserve">d) avvocati incaricati dell'eventuale contenzioso</w:t>
            </w:r>
          </w:p>
          <w:p>
            <w:pPr>
              <w:jc w:val="both"/>
            </w:pPr>
            <w:r>
              <w:rPr>
                <w:rFonts w:ascii="Times New Roman" w:hAnsi="Times New Roman"/>
                <w:sz w:val="22"/>
                <w:szCs w:val="22"/>
              </w:rPr>
              <w:t xml:space="preserve">(ai sensi del D.Lgs. n. 50/2016 e della regolazione attuativa)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sul sito web, in "Amministratrazione trasparente" in attuazione di obblighi di pubblicazione di cui al D. Lgs. n. 33/2013</w:t>
            </w:r>
          </w:p>
          <w:p>
            <w:pPr>
              <w:jc w:val="both"/>
            </w:pPr>
            <w:r>
              <w:rPr>
                <w:rFonts w:ascii="Times New Roman" w:hAnsi="Times New Roman"/>
                <w:sz w:val="22"/>
                <w:szCs w:val="22"/>
              </w:rPr>
              <w:t xml:space="preserve">-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p>
            <w:pPr>
              <w:jc w:val="both"/>
            </w:pPr>
            <w:r>
              <w:rPr>
                <w:rFonts w:ascii="Times New Roman" w:hAnsi="Times New Roman"/>
                <w:sz w:val="22"/>
                <w:szCs w:val="22"/>
              </w:rPr>
              <w:t xml:space="preserve">- Soggetti terzi rispetto ai concorrenti, i cui dati rilevano nella procedura di affidamento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Convenzioni con associazioni di volontariato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